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E1F" w:rsidRPr="00043E1F" w:rsidRDefault="00043E1F" w:rsidP="00043E1F">
      <w:pPr>
        <w:jc w:val="center"/>
        <w:rPr>
          <w:b/>
        </w:rPr>
      </w:pPr>
      <w:r w:rsidRPr="00043E1F">
        <w:rPr>
          <w:b/>
        </w:rPr>
        <w:t xml:space="preserve">Recurso. </w:t>
      </w:r>
      <w:r w:rsidR="00DF533B">
        <w:rPr>
          <w:b/>
        </w:rPr>
        <w:t>Desmitificando</w:t>
      </w:r>
      <w:r>
        <w:rPr>
          <w:b/>
        </w:rPr>
        <w:t xml:space="preserve"> de la violencia de género</w:t>
      </w:r>
    </w:p>
    <w:p w:rsidR="00043E1F" w:rsidRPr="000C45A3" w:rsidRDefault="00043E1F" w:rsidP="00043E1F">
      <w:pPr>
        <w:pStyle w:val="Prrafodelista"/>
        <w:numPr>
          <w:ilvl w:val="0"/>
          <w:numId w:val="1"/>
        </w:numPr>
        <w:jc w:val="both"/>
        <w:rPr>
          <w:rFonts w:eastAsia="Times New Roman" w:cstheme="minorHAnsi"/>
          <w:b/>
          <w:color w:val="000000"/>
          <w:lang w:eastAsia="es-ES"/>
        </w:rPr>
      </w:pPr>
      <w:r w:rsidRPr="000C45A3">
        <w:rPr>
          <w:rFonts w:eastAsia="Times New Roman" w:cstheme="minorHAnsi"/>
          <w:b/>
          <w:color w:val="000000"/>
          <w:lang w:eastAsia="es-ES"/>
        </w:rPr>
        <w:t>Cuando decimos hombre, nos referimos a toda la humanidad</w:t>
      </w:r>
    </w:p>
    <w:p w:rsidR="00043E1F" w:rsidRPr="000C45A3" w:rsidRDefault="00043E1F" w:rsidP="00043E1F">
      <w:pPr>
        <w:jc w:val="both"/>
        <w:rPr>
          <w:rFonts w:eastAsia="Times New Roman" w:cstheme="minorHAnsi"/>
          <w:color w:val="000000"/>
          <w:lang w:eastAsia="es-ES"/>
        </w:rPr>
      </w:pPr>
      <w:r>
        <w:rPr>
          <w:rFonts w:eastAsia="Times New Roman" w:cstheme="minorHAnsi"/>
          <w:color w:val="000000"/>
          <w:lang w:eastAsia="es-ES"/>
        </w:rPr>
        <w:t>Las mujeres han sido invisibilizadas debido a que en muchas ocasiones su trabajo radica en las actividades reproductivas que realizan, que demandan tiempo y esfuerzo pero que no se valorizan monetariamente. También las mujeres se han visto invisibilizadas en espacios donde no se reconoce su participación en act</w:t>
      </w:r>
      <w:bookmarkStart w:id="0" w:name="_GoBack"/>
      <w:bookmarkEnd w:id="0"/>
      <w:r>
        <w:rPr>
          <w:rFonts w:eastAsia="Times New Roman" w:cstheme="minorHAnsi"/>
          <w:color w:val="000000"/>
          <w:lang w:eastAsia="es-ES"/>
        </w:rPr>
        <w:t>ividades productivas y comunitarias donde su aporte es también económico. Asimismo, el lenguaje ha sido otro factor mediante el cual la mujer se ve invisibilizada.</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 xml:space="preserve"> Los trapos sucios se lavan en casa.</w:t>
      </w:r>
    </w:p>
    <w:p w:rsidR="00043E1F" w:rsidRPr="000C45A3" w:rsidRDefault="00043E1F" w:rsidP="00043E1F">
      <w:pPr>
        <w:jc w:val="both"/>
        <w:rPr>
          <w:rFonts w:cstheme="minorHAnsi"/>
        </w:rPr>
      </w:pPr>
      <w:r w:rsidRPr="000C45A3">
        <w:rPr>
          <w:rFonts w:cstheme="minorHAnsi"/>
        </w:rPr>
        <w:t xml:space="preserve">Considerar la vida familiar como "ámbito privado" invisibiliza la magnitud del problema y perpetúa la violencia. </w:t>
      </w:r>
    </w:p>
    <w:p w:rsidR="00043E1F" w:rsidRPr="000C45A3" w:rsidRDefault="00043E1F" w:rsidP="00043E1F">
      <w:pPr>
        <w:jc w:val="both"/>
        <w:rPr>
          <w:rFonts w:cstheme="minorHAnsi"/>
        </w:rPr>
      </w:pPr>
      <w:r w:rsidRPr="000C45A3">
        <w:rPr>
          <w:rFonts w:cstheme="minorHAnsi"/>
        </w:rPr>
        <w:t>Las mujeres maltratadas sienten que traicionan a su pareja y a su "familia", cuando cuentan a alguien lo que les pasa o cuando piden ayuda, porque hacen público lo que consideran privado. Por otro lado, reducir la violencia contra las mujeres al ámbito privado impide que la sociedad en su conju</w:t>
      </w:r>
      <w:r>
        <w:rPr>
          <w:rFonts w:cstheme="minorHAnsi"/>
        </w:rPr>
        <w:t xml:space="preserve">nto se haga cargo del problema. </w:t>
      </w:r>
      <w:r w:rsidRPr="000C45A3">
        <w:rPr>
          <w:rFonts w:cstheme="minorHAnsi"/>
        </w:rPr>
        <w:t>Terminar con la violencia contra las mujeres es responsabilidad de todos y todas.</w:t>
      </w:r>
    </w:p>
    <w:p w:rsidR="00043E1F" w:rsidRPr="000C45A3" w:rsidRDefault="00043E1F" w:rsidP="00043E1F">
      <w:pPr>
        <w:jc w:val="both"/>
        <w:rPr>
          <w:rFonts w:cstheme="minorHAnsi"/>
          <w:color w:val="0A0A0A"/>
        </w:rPr>
      </w:pPr>
      <w:r w:rsidRPr="000C45A3">
        <w:rPr>
          <w:rFonts w:cstheme="minorHAnsi"/>
          <w:color w:val="0A0A0A"/>
        </w:rPr>
        <w:t>Creer que la familia es un ámbito privado e “intocable” ha justificado la violencia en el espacio doméstico. Ante estas situaciones, los terceros callan y no intervienen por un falso respeto a su intimidad. “Hay que hacer público el problema privado. La mujer no puede someterse a la violencia por temor a perder el patrimonio o los hijos”.</w:t>
      </w:r>
    </w:p>
    <w:p w:rsidR="00043E1F" w:rsidRPr="00043E1F" w:rsidRDefault="00043E1F" w:rsidP="00043E1F">
      <w:pPr>
        <w:jc w:val="both"/>
        <w:rPr>
          <w:rStyle w:val="Textoennegrita"/>
          <w:rFonts w:cstheme="minorHAnsi"/>
          <w:b w:val="0"/>
        </w:rPr>
      </w:pPr>
      <w:r w:rsidRPr="00043E1F">
        <w:rPr>
          <w:rStyle w:val="Textoennegrita"/>
          <w:rFonts w:cstheme="minorHAnsi"/>
          <w:b w:val="0"/>
        </w:rPr>
        <w:t>Ser testigos de violencia doméstica tiene consecuencias graves sobre el bienestar emocional y la personalidad de las niñas y de los niños, máxime si se tiene en cuenta que es probable que estas niñas y niños reproduzcan esta misma situación cuando establezcan relaciones de pareja en la edad adulta, ya que aprenden que la violencia es un medio legítimo para solucionar conflictos. Ante una relación de pareja sembrada de violencia, la opción más responsable hacia el bienestar de las niñas y niños es alejarlos de esa situación. Tampoco se puede olvidar que alrededor de la mitad de los varones que maltratan a su pareja, maltratan también a sus hijas e hijos.</w:t>
      </w:r>
    </w:p>
    <w:p w:rsidR="00043E1F" w:rsidRPr="000C45A3" w:rsidRDefault="00043E1F" w:rsidP="00043E1F">
      <w:pPr>
        <w:jc w:val="both"/>
        <w:rPr>
          <w:rFonts w:cstheme="minorHAnsi"/>
          <w:color w:val="0A0A0A"/>
        </w:rPr>
      </w:pPr>
      <w:r w:rsidRPr="000C45A3">
        <w:rPr>
          <w:rFonts w:cstheme="minorHAnsi"/>
          <w:color w:val="0A0A0A"/>
        </w:rPr>
        <w:t>Si la mujer es agredida, los niños y las niñas presenciarán la humillación de su madre, convirtiéndose en testigos y en muchos casos también en víctimas directas, lo cual suele llevar a producirles trastornos de conducta, salud y aprendizaje.</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Las mujeres son mejores para la crianza de los hijos.</w:t>
      </w:r>
    </w:p>
    <w:p w:rsidR="00043E1F" w:rsidRPr="000C45A3" w:rsidRDefault="00043E1F" w:rsidP="00043E1F">
      <w:pPr>
        <w:pStyle w:val="Prrafodelista"/>
        <w:jc w:val="both"/>
        <w:rPr>
          <w:rFonts w:cstheme="minorHAnsi"/>
          <w:b/>
        </w:rPr>
      </w:pP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La violencia intrafamiliar y sexual es un problema de las clases sociales más pobres y con menos educación.</w:t>
      </w:r>
    </w:p>
    <w:p w:rsidR="00043E1F" w:rsidRPr="000C45A3" w:rsidRDefault="00043E1F" w:rsidP="00043E1F">
      <w:pPr>
        <w:jc w:val="both"/>
        <w:rPr>
          <w:rFonts w:cstheme="minorHAnsi"/>
        </w:rPr>
      </w:pPr>
      <w:r w:rsidRPr="000C45A3">
        <w:rPr>
          <w:rFonts w:cstheme="minorHAnsi"/>
        </w:rPr>
        <w:t>Según datos oficiales en varios países, alrededor del 70% de las denuncias recibidas por violencia familiar son de la clase media. Siete de cada 10 mujeres que se presentaron como víctimas de agresiones domésticas tienen buenas condiciones económicas.</w:t>
      </w:r>
    </w:p>
    <w:p w:rsidR="00043E1F" w:rsidRPr="00043E1F" w:rsidRDefault="00043E1F" w:rsidP="00043E1F">
      <w:pPr>
        <w:jc w:val="both"/>
        <w:rPr>
          <w:rStyle w:val="Textoennegrita"/>
          <w:rFonts w:cstheme="minorHAnsi"/>
          <w:b w:val="0"/>
          <w:bCs w:val="0"/>
        </w:rPr>
      </w:pPr>
      <w:r w:rsidRPr="00043E1F">
        <w:rPr>
          <w:rStyle w:val="Textoennegrita"/>
          <w:rFonts w:cstheme="minorHAnsi"/>
          <w:b w:val="0"/>
        </w:rPr>
        <w:lastRenderedPageBreak/>
        <w:t>La violencia contra las mujeres tiene lugar en todas las capas sociales y económicas. La diferencia suele estar en el tipo de violencia que se ejerce y en las salidas que se dan a esta situación (Centros privados de salud, médicos particulares, etc.).</w:t>
      </w:r>
    </w:p>
    <w:p w:rsidR="00043E1F" w:rsidRPr="00043E1F" w:rsidRDefault="00043E1F" w:rsidP="00043E1F">
      <w:pPr>
        <w:jc w:val="both"/>
        <w:rPr>
          <w:rFonts w:cstheme="minorHAnsi"/>
          <w:b/>
          <w:lang w:val="es-ES_tradnl"/>
        </w:rPr>
      </w:pPr>
      <w:r w:rsidRPr="00043E1F">
        <w:rPr>
          <w:rStyle w:val="Textoennegrita"/>
          <w:rFonts w:cstheme="minorHAnsi"/>
          <w:b w:val="0"/>
        </w:rPr>
        <w:t>Es muy probable que las mujeres pertenecientes a capas sociales medias y altas no recurran a los Servicios Sociales y no presenten denuncias por sentirse presionadas a no hacer pública una situación que afectaría negativamente a su estatus social. Es evidente, que la esposa/compañera de un hombre con una vida pública prestigiosa se sienta muy presionada a ocultar la violencia doméstica.</w:t>
      </w:r>
    </w:p>
    <w:p w:rsidR="00043E1F" w:rsidRPr="000C45A3" w:rsidRDefault="00043E1F" w:rsidP="00043E1F">
      <w:pPr>
        <w:pStyle w:val="Prrafodelista"/>
        <w:numPr>
          <w:ilvl w:val="0"/>
          <w:numId w:val="1"/>
        </w:numPr>
        <w:jc w:val="both"/>
        <w:rPr>
          <w:rFonts w:cstheme="minorHAnsi"/>
          <w:b/>
          <w:lang w:val="es-ES_tradnl"/>
        </w:rPr>
      </w:pPr>
      <w:r w:rsidRPr="000C45A3">
        <w:rPr>
          <w:rFonts w:eastAsia="Times New Roman" w:cstheme="minorHAnsi"/>
          <w:b/>
          <w:color w:val="000000"/>
          <w:lang w:eastAsia="es-ES"/>
        </w:rPr>
        <w:t>Solo se considera abuso sexual cuando hay penetración</w:t>
      </w:r>
    </w:p>
    <w:p w:rsidR="00043E1F" w:rsidRPr="00D855F6" w:rsidRDefault="00043E1F" w:rsidP="00043E1F">
      <w:pPr>
        <w:pStyle w:val="Prrafodelista"/>
        <w:numPr>
          <w:ilvl w:val="0"/>
          <w:numId w:val="1"/>
        </w:numPr>
        <w:jc w:val="both"/>
        <w:rPr>
          <w:rFonts w:cstheme="minorHAnsi"/>
          <w:b/>
          <w:lang w:val="es-ES_tradnl"/>
        </w:rPr>
      </w:pPr>
      <w:r w:rsidRPr="000C45A3">
        <w:rPr>
          <w:rFonts w:eastAsia="Times New Roman" w:cstheme="minorHAnsi"/>
          <w:b/>
          <w:color w:val="000000"/>
          <w:lang w:eastAsia="es-ES"/>
        </w:rPr>
        <w:t>Hay abuso sexual cuando se usa la fuerza física.</w:t>
      </w:r>
    </w:p>
    <w:p w:rsidR="00043E1F" w:rsidRPr="00D855F6" w:rsidRDefault="00043E1F" w:rsidP="00043E1F">
      <w:pPr>
        <w:jc w:val="both"/>
        <w:rPr>
          <w:rFonts w:cstheme="minorHAnsi"/>
        </w:rPr>
      </w:pPr>
      <w:r w:rsidRPr="00D855F6">
        <w:rPr>
          <w:rStyle w:val="Textoennegrita"/>
          <w:b w:val="0"/>
        </w:rPr>
        <w:t>La violencia sexual muchas veces es confundida con la realización del acto sexual tal cual, sin embargo esta incluye tocamientos, espiar en situación de desnudez, obligar a ver imágenes con contenido sexual, servidumbre sexual, uniones forzadas, prostitución forzada, desnudamiento público, imposición de prácticas de reproducción o de aborto</w:t>
      </w:r>
      <w:r>
        <w:rPr>
          <w:rFonts w:cstheme="minorHAnsi"/>
          <w:lang w:val="es-EC"/>
        </w:rPr>
        <w:t>, gestos sexuales que provoquen que la persona se sienta incomoda, piropos o frases con contenido sexual que objetivizan a las personas, miradas lascivas.</w:t>
      </w:r>
    </w:p>
    <w:p w:rsidR="00043E1F" w:rsidRPr="000C45A3" w:rsidRDefault="00043E1F" w:rsidP="00043E1F">
      <w:pPr>
        <w:pStyle w:val="Prrafodelista"/>
        <w:numPr>
          <w:ilvl w:val="0"/>
          <w:numId w:val="1"/>
        </w:numPr>
        <w:jc w:val="both"/>
        <w:rPr>
          <w:rFonts w:cstheme="minorHAnsi"/>
          <w:b/>
          <w:lang w:val="es-ES_tradnl"/>
        </w:rPr>
      </w:pPr>
      <w:r w:rsidRPr="000C45A3">
        <w:rPr>
          <w:rFonts w:eastAsia="Times New Roman" w:cstheme="minorHAnsi"/>
          <w:b/>
          <w:color w:val="000000"/>
          <w:lang w:eastAsia="es-ES"/>
        </w:rPr>
        <w:t>La violencia en la pareja se soluciona con el diálogo.</w:t>
      </w:r>
    </w:p>
    <w:p w:rsidR="00043E1F" w:rsidRPr="000C45A3" w:rsidRDefault="00043E1F" w:rsidP="00043E1F">
      <w:pPr>
        <w:jc w:val="both"/>
        <w:rPr>
          <w:rFonts w:cstheme="minorHAnsi"/>
        </w:rPr>
      </w:pPr>
      <w:r w:rsidRPr="000C45A3">
        <w:rPr>
          <w:rFonts w:cstheme="minorHAnsi"/>
        </w:rPr>
        <w:t>Si entendemos a la violencia contra las mujeres como una forma abusiva de ejercicio del poder es fácil deducir que en una terapia de pareja así como en una mediación es imposible que las mujeres puedan manifestar su malestar y mucho menos contar lo que les sucede delante de las personas que</w:t>
      </w:r>
      <w:r>
        <w:rPr>
          <w:rFonts w:cstheme="minorHAnsi"/>
        </w:rPr>
        <w:t xml:space="preserve"> las maltratan y/o las golpean. </w:t>
      </w:r>
      <w:r w:rsidRPr="000C45A3">
        <w:rPr>
          <w:rFonts w:cstheme="minorHAnsi"/>
        </w:rPr>
        <w:t>Los golpeadores/maltratadores ejercen, mediante amenazas e intimidaciones, dominio emocional sobre sus víctimas que hacen imposible que puedan romper el silencio delante de ellos.</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Cuando las mujeres dicen no quieren decir que sí.</w:t>
      </w:r>
    </w:p>
    <w:p w:rsidR="00043E1F" w:rsidRPr="000C45A3" w:rsidRDefault="00043E1F" w:rsidP="00043E1F">
      <w:pPr>
        <w:jc w:val="both"/>
        <w:rPr>
          <w:rFonts w:cstheme="minorHAnsi"/>
        </w:rPr>
      </w:pPr>
      <w:r w:rsidRPr="000C45A3">
        <w:rPr>
          <w:rFonts w:cstheme="minorHAnsi"/>
        </w:rPr>
        <w:t>Los hombres violentos piensan que las mujeres que no se atreven a manifestar sus deseos sexuales y por ello “creen” que las tienen que obligar o forzar.</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La homosexualidad es una opción y se puede curar</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Hay niñas y niños más grandes que provocan el abuso porque seducen al adulto</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La violencia contra las mujeres y contra los niños es una pérdida momentánea de control.</w:t>
      </w:r>
    </w:p>
    <w:p w:rsidR="00043E1F" w:rsidRPr="00043E1F" w:rsidRDefault="00043E1F" w:rsidP="00043E1F">
      <w:pPr>
        <w:jc w:val="both"/>
        <w:rPr>
          <w:rStyle w:val="Textoennegrita"/>
          <w:rFonts w:cstheme="minorHAnsi"/>
          <w:b w:val="0"/>
        </w:rPr>
      </w:pPr>
      <w:r w:rsidRPr="00043E1F">
        <w:rPr>
          <w:rStyle w:val="Textoennegrita"/>
          <w:rFonts w:cstheme="minorHAnsi"/>
          <w:b w:val="0"/>
        </w:rPr>
        <w:t>La mayoría de las veces, las agresiones no son consecuencia de una explosión de ira incontrolable, sino que son actos premeditados que buscan descargar la tensión y sentirse poderosos dominando a la otra persona. Además, las agresiones no suelen ser aisladas, sino hechos repetidos y frecuentes.</w:t>
      </w:r>
    </w:p>
    <w:p w:rsidR="00043E1F" w:rsidRPr="000C45A3" w:rsidRDefault="00043E1F" w:rsidP="00043E1F">
      <w:pPr>
        <w:pStyle w:val="Prrafodelista"/>
        <w:numPr>
          <w:ilvl w:val="0"/>
          <w:numId w:val="1"/>
        </w:numPr>
        <w:jc w:val="both"/>
        <w:rPr>
          <w:rFonts w:cstheme="minorHAnsi"/>
        </w:rPr>
      </w:pPr>
      <w:r w:rsidRPr="000C45A3">
        <w:rPr>
          <w:rFonts w:eastAsia="Times New Roman" w:cstheme="minorHAnsi"/>
          <w:b/>
          <w:color w:val="000000"/>
          <w:lang w:eastAsia="es-ES"/>
        </w:rPr>
        <w:t>Hay mujeres que con su forma de vestir se exponen más a la violencia sexual.</w:t>
      </w:r>
    </w:p>
    <w:p w:rsidR="00043E1F" w:rsidRPr="00043E1F" w:rsidRDefault="00043E1F" w:rsidP="00043E1F">
      <w:pPr>
        <w:jc w:val="both"/>
        <w:rPr>
          <w:rStyle w:val="Textoennegrita"/>
          <w:rFonts w:cstheme="minorHAnsi"/>
          <w:b w:val="0"/>
        </w:rPr>
      </w:pPr>
      <w:r w:rsidRPr="00043E1F">
        <w:rPr>
          <w:rStyle w:val="Textoennegrita"/>
          <w:rFonts w:cstheme="minorHAnsi"/>
          <w:b w:val="0"/>
        </w:rPr>
        <w:lastRenderedPageBreak/>
        <w:t>Existe una tendencia por parte de la sociedad a juzgar la conducta de la mujer violada más que la del violador, si la mujer llevaba una vida ordenada y regular, si se vestía de forma adecuada, si salía de noche, si hacía autostop, etc.</w:t>
      </w:r>
    </w:p>
    <w:p w:rsidR="00043E1F" w:rsidRPr="000C45A3" w:rsidRDefault="00043E1F" w:rsidP="00043E1F">
      <w:pPr>
        <w:pStyle w:val="Prrafodelista"/>
        <w:numPr>
          <w:ilvl w:val="0"/>
          <w:numId w:val="1"/>
        </w:numPr>
        <w:jc w:val="both"/>
        <w:rPr>
          <w:rFonts w:cstheme="minorHAnsi"/>
        </w:rPr>
      </w:pPr>
      <w:r w:rsidRPr="000C45A3">
        <w:rPr>
          <w:rFonts w:eastAsia="Times New Roman" w:cstheme="minorHAnsi"/>
          <w:b/>
          <w:color w:val="000000"/>
          <w:lang w:eastAsia="es-ES"/>
        </w:rPr>
        <w:t>Por suerte las personas adultas mayores están libres de sufrir violencia sexual.</w:t>
      </w:r>
    </w:p>
    <w:p w:rsidR="00043E1F" w:rsidRPr="000C45A3" w:rsidRDefault="00043E1F" w:rsidP="00043E1F">
      <w:pPr>
        <w:jc w:val="both"/>
        <w:rPr>
          <w:rFonts w:cstheme="minorHAnsi"/>
          <w:color w:val="0A0A0A"/>
        </w:rPr>
      </w:pPr>
      <w:r w:rsidRPr="000C45A3">
        <w:rPr>
          <w:rStyle w:val="googqs-tidbit-0"/>
          <w:rFonts w:cstheme="minorHAnsi"/>
          <w:color w:val="0A0A0A"/>
        </w:rPr>
        <w:t>L</w:t>
      </w:r>
      <w:r w:rsidRPr="000C45A3">
        <w:rPr>
          <w:rFonts w:cstheme="minorHAnsi"/>
          <w:color w:val="0A0A0A"/>
        </w:rPr>
        <w:t>a violencia contra las mujeres se da en todos los grupos sociales y étnicos. Mujeres de hogares con mayores recursos económicos suelen estar sometidas a una serie de presiones de tipo social que les impide comunicar su problemática o demandar ayuda de los servicios sociales. La violencia sexual sin embargo por toda la connotación que l patriarcado ha dado al cuerpo de las mujeres dentro de unos cánones de belleza sí parece tener mayor incidencia en mujeres jóvenes, sin embargo, es necesario ser cuidadoso/a de no sacar conclusiones al respecto.</w:t>
      </w:r>
    </w:p>
    <w:p w:rsidR="00043E1F" w:rsidRPr="000C45A3" w:rsidRDefault="00043E1F" w:rsidP="00043E1F">
      <w:pPr>
        <w:jc w:val="both"/>
        <w:rPr>
          <w:rFonts w:cstheme="minorHAnsi"/>
          <w:color w:val="0A0A0A"/>
        </w:rPr>
      </w:pPr>
      <w:r w:rsidRPr="000C45A3">
        <w:rPr>
          <w:rFonts w:cstheme="minorHAnsi"/>
          <w:color w:val="0A0A0A"/>
        </w:rPr>
        <w:t>La violencia no afecta a un tipo o grupo determinado de mujeres. Con esta idea sólo se consigue reducir el problema y tranquilizarse pensando que es una situación que afecta únicamente a un grupo determinado de mujeres, así como estigmatizar a quienes las han sufrido, condenándolas al silencio.</w:t>
      </w:r>
    </w:p>
    <w:p w:rsidR="00043E1F" w:rsidRPr="000C45A3" w:rsidRDefault="00043E1F" w:rsidP="00043E1F">
      <w:pPr>
        <w:pStyle w:val="Prrafodelista"/>
        <w:numPr>
          <w:ilvl w:val="0"/>
          <w:numId w:val="1"/>
        </w:numPr>
        <w:jc w:val="both"/>
        <w:rPr>
          <w:rFonts w:cstheme="minorHAnsi"/>
          <w:b/>
          <w:color w:val="0A0A0A"/>
        </w:rPr>
      </w:pPr>
      <w:r w:rsidRPr="000C45A3">
        <w:rPr>
          <w:rFonts w:eastAsia="Times New Roman" w:cstheme="minorHAnsi"/>
          <w:b/>
          <w:color w:val="000000"/>
          <w:lang w:eastAsia="es-ES"/>
        </w:rPr>
        <w:t>La violencia intrafamiliar y de género se exagera y eso hace que parezca mayor.</w:t>
      </w:r>
    </w:p>
    <w:p w:rsidR="00043E1F" w:rsidRPr="000C45A3" w:rsidRDefault="00043E1F" w:rsidP="00043E1F">
      <w:pPr>
        <w:jc w:val="both"/>
        <w:rPr>
          <w:rFonts w:cstheme="minorHAnsi"/>
        </w:rPr>
      </w:pPr>
      <w:r w:rsidRPr="000C45A3">
        <w:rPr>
          <w:rFonts w:cstheme="minorHAnsi"/>
        </w:rPr>
        <w:t xml:space="preserve">Retomar estadísticas en Ecuador pro casi en todos los países de la región en por lo menos 1 de cada 5 parejas hay violencia. Cerca del 40% de los casos de mujeres asesinadas  mueren a manos de sus esposos, parejas o convivientes. Alrededor del 30% de las mujeres golpeadas por sus esposos lleva entre 11 y 20 años o más soportando abusos de ese tipo. 11 años. Sin embargo, hay que recordar el alto nivel de </w:t>
      </w:r>
      <w:proofErr w:type="spellStart"/>
      <w:r w:rsidRPr="000C45A3">
        <w:rPr>
          <w:rFonts w:cstheme="minorHAnsi"/>
        </w:rPr>
        <w:t>subregistro</w:t>
      </w:r>
      <w:proofErr w:type="spellEnd"/>
      <w:r w:rsidRPr="000C45A3">
        <w:rPr>
          <w:rFonts w:cstheme="minorHAnsi"/>
        </w:rPr>
        <w:t xml:space="preserve">, dada la vergüenza que significa romper el silencio (y porque romperlo también es un proceso) y por la connotación de privada que tiene la violencia para muchas personas. </w:t>
      </w:r>
    </w:p>
    <w:p w:rsidR="00043E1F" w:rsidRPr="000C45A3" w:rsidRDefault="00043E1F" w:rsidP="00043E1F">
      <w:pPr>
        <w:jc w:val="both"/>
        <w:rPr>
          <w:rFonts w:cstheme="minorHAnsi"/>
          <w:bCs/>
        </w:rPr>
      </w:pPr>
      <w:r w:rsidRPr="000C45A3">
        <w:rPr>
          <w:rFonts w:cstheme="minorHAnsi"/>
          <w:bCs/>
        </w:rPr>
        <w:t>Los casos que aparecen en los medios de comunicación e incluso las denuncias que se realizan sólo representan una pequeña parte de la realidad. Las personas expertas en violencia doméstica afirman que sólo se denuncian alrededor del 10% de los casos.</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Una persona maltratada se convierte en un adulto maltratador</w:t>
      </w:r>
    </w:p>
    <w:p w:rsidR="00043E1F" w:rsidRPr="00043E1F" w:rsidRDefault="00043E1F" w:rsidP="00043E1F">
      <w:pPr>
        <w:jc w:val="both"/>
        <w:rPr>
          <w:rStyle w:val="Textoennegrita"/>
          <w:rFonts w:cstheme="minorHAnsi"/>
          <w:b w:val="0"/>
        </w:rPr>
      </w:pPr>
      <w:r w:rsidRPr="00043E1F">
        <w:rPr>
          <w:rStyle w:val="Textoennegrita"/>
          <w:rFonts w:cstheme="minorHAnsi"/>
          <w:b w:val="0"/>
        </w:rPr>
        <w:t>Este mito, muy cercano a los anteriores hace necesario revisar que diferentes investigaciones relacionan haber sido testigos de violencia en la familia de origen con los roles de víctima y agresor que se establecen en las parejas, asumiendo que la violencia se transmite de generación en generación. Sin embargo la relación entre estas dos cuestiones no es la de causa-efecto; no todos los hombres que maltratan a sus parejas han sido testigos de violencia o han sido también maltratados, ni tampoco todos los hombres que han sido testigos de violencia o han sido también maltratados maltratan a sus parejas.</w:t>
      </w:r>
    </w:p>
    <w:p w:rsidR="00043E1F" w:rsidRPr="000C45A3" w:rsidRDefault="00043E1F" w:rsidP="00043E1F">
      <w:pPr>
        <w:pStyle w:val="Prrafodelista"/>
        <w:numPr>
          <w:ilvl w:val="0"/>
          <w:numId w:val="1"/>
        </w:numPr>
        <w:jc w:val="both"/>
        <w:rPr>
          <w:rFonts w:cstheme="minorHAnsi"/>
          <w:b/>
        </w:rPr>
      </w:pPr>
      <w:r w:rsidRPr="000C45A3">
        <w:rPr>
          <w:rFonts w:eastAsia="Times New Roman" w:cstheme="minorHAnsi"/>
          <w:b/>
          <w:color w:val="000000"/>
          <w:lang w:eastAsia="es-ES"/>
        </w:rPr>
        <w:t>Los maltratadores son personas que tienen problemas con el alcohol o con la drogas</w:t>
      </w:r>
    </w:p>
    <w:p w:rsidR="00043E1F" w:rsidRPr="00043E1F" w:rsidRDefault="00043E1F" w:rsidP="00043E1F">
      <w:pPr>
        <w:jc w:val="both"/>
        <w:rPr>
          <w:rStyle w:val="Textoennegrita"/>
          <w:rFonts w:cstheme="minorHAnsi"/>
          <w:b w:val="0"/>
        </w:rPr>
      </w:pPr>
      <w:r w:rsidRPr="00043E1F">
        <w:rPr>
          <w:rStyle w:val="Textoennegrita"/>
          <w:rFonts w:cstheme="minorHAnsi"/>
          <w:b w:val="0"/>
        </w:rPr>
        <w:t xml:space="preserve">Así se suelen justificar muchos maltratadores, evitando de esa forma hacerse responsables de sus actos. Es cierto que el consumo excesivo de alcohol es frecuente en estas personas, pero este hecho no les exime de su responsabilidad. Recordemos, por ejemplo, que en los </w:t>
      </w:r>
      <w:r w:rsidRPr="00043E1F">
        <w:rPr>
          <w:rStyle w:val="Textoennegrita"/>
          <w:rFonts w:cstheme="minorHAnsi"/>
          <w:b w:val="0"/>
        </w:rPr>
        <w:lastRenderedPageBreak/>
        <w:t>accidentes de tráfico la ingesta de alcohol es un agravante a la hora de imputar responsabilidades penales. Además no todos los hombres que tienen problemas con el alcohol pegan y maltratan a sus parejas.</w:t>
      </w:r>
    </w:p>
    <w:p w:rsidR="00043E1F" w:rsidRPr="00043E1F" w:rsidRDefault="00043E1F" w:rsidP="00043E1F">
      <w:pPr>
        <w:jc w:val="both"/>
        <w:rPr>
          <w:rFonts w:cstheme="minorHAnsi"/>
          <w:bCs/>
        </w:rPr>
      </w:pPr>
      <w:r w:rsidRPr="00043E1F">
        <w:rPr>
          <w:rFonts w:cstheme="minorHAnsi"/>
          <w:color w:val="0A0A0A"/>
        </w:rPr>
        <w:t>Este hecho queda desmentido al demostrar que también son violentos cuando no están sometidos a ninguna adicción o situación conflictiva concreta.</w:t>
      </w:r>
    </w:p>
    <w:p w:rsidR="00043E1F" w:rsidRPr="00043E1F" w:rsidRDefault="00043E1F" w:rsidP="00043E1F">
      <w:pPr>
        <w:jc w:val="both"/>
        <w:rPr>
          <w:rStyle w:val="Textoennegrita"/>
          <w:rFonts w:cstheme="minorHAnsi"/>
          <w:b w:val="0"/>
        </w:rPr>
      </w:pPr>
      <w:r w:rsidRPr="00043E1F">
        <w:rPr>
          <w:rStyle w:val="Textoennegrita"/>
          <w:rFonts w:cstheme="minorHAnsi"/>
          <w:b w:val="0"/>
        </w:rPr>
        <w:t>Sin duda alguna, una persona que, para autoafirmarse, maltrata a otras tiene dificultades para canalizar su malestar y frustración. Pero esto no significa que no sea responsable de sus actos.</w:t>
      </w:r>
    </w:p>
    <w:p w:rsidR="00043E1F" w:rsidRPr="00043E1F" w:rsidRDefault="00043E1F" w:rsidP="00043E1F">
      <w:pPr>
        <w:jc w:val="both"/>
        <w:rPr>
          <w:rFonts w:cstheme="minorHAnsi"/>
        </w:rPr>
      </w:pPr>
      <w:r w:rsidRPr="00043E1F">
        <w:rPr>
          <w:rFonts w:cstheme="minorHAnsi"/>
        </w:rPr>
        <w:t>Los hombres violentos pueden o no ser enfermos o adictos, pero su violencia no se debe a su enfermedad o adicción. Las drogas, el alcohol y/o las enfermedades pueden agudizar los comportamientos violentos, pero de ninguna manera los originan.</w:t>
      </w:r>
      <w:r w:rsidRPr="00043E1F">
        <w:rPr>
          <w:rFonts w:cstheme="minorHAnsi"/>
        </w:rPr>
        <w:br/>
        <w:t>La violencia contra las mujeres es producto de las relaciones asimétricas de poder entre hombres y mujeres. Los hombres violentos se consideran propietarios de sus parejas y esposas, pues se hacen cargo de estructuras socioculturales patriarcales transmitidas y sostenidas a lo largo de la historia. Tratar a los violentos como enfermos justifica su violencia, principalmente cuando el problema llega a la justicia. Golpear es un delito que tiene un responsable: el golpeador.</w:t>
      </w:r>
    </w:p>
    <w:p w:rsidR="00043E1F" w:rsidRPr="00043E1F" w:rsidRDefault="00043E1F" w:rsidP="00043E1F">
      <w:pPr>
        <w:pStyle w:val="Prrafodelista"/>
        <w:numPr>
          <w:ilvl w:val="0"/>
          <w:numId w:val="1"/>
        </w:numPr>
        <w:jc w:val="both"/>
        <w:rPr>
          <w:rFonts w:cstheme="minorHAnsi"/>
        </w:rPr>
      </w:pPr>
      <w:r w:rsidRPr="000C45A3">
        <w:rPr>
          <w:rFonts w:eastAsia="Times New Roman" w:cstheme="minorHAnsi"/>
          <w:b/>
          <w:color w:val="000000"/>
          <w:lang w:eastAsia="es-ES"/>
        </w:rPr>
        <w:t>Con frecuencia las historias de abuso sexual de niñas o niños son producto de su gran imaginación o del excesivo acceso que tienen a la televisión y al internet</w:t>
      </w:r>
    </w:p>
    <w:p w:rsidR="00043E1F" w:rsidRPr="000C45A3" w:rsidRDefault="00043E1F" w:rsidP="00043E1F">
      <w:pPr>
        <w:pStyle w:val="Prrafodelista"/>
        <w:numPr>
          <w:ilvl w:val="0"/>
          <w:numId w:val="1"/>
        </w:numPr>
        <w:jc w:val="both"/>
        <w:rPr>
          <w:rFonts w:eastAsia="Times New Roman" w:cstheme="minorHAnsi"/>
          <w:color w:val="000000"/>
          <w:lang w:eastAsia="es-ES"/>
        </w:rPr>
      </w:pPr>
      <w:r w:rsidRPr="000C45A3">
        <w:rPr>
          <w:rFonts w:eastAsia="Times New Roman" w:cstheme="minorHAnsi"/>
          <w:b/>
          <w:color w:val="000000"/>
          <w:lang w:eastAsia="es-ES"/>
        </w:rPr>
        <w:t>Los niños y las niñas que viven con padres homosexuales tienen problemas de identidad</w:t>
      </w:r>
    </w:p>
    <w:p w:rsidR="00043E1F" w:rsidRPr="000C45A3" w:rsidRDefault="00043E1F" w:rsidP="00043E1F">
      <w:pPr>
        <w:pStyle w:val="Prrafodelista"/>
        <w:numPr>
          <w:ilvl w:val="0"/>
          <w:numId w:val="1"/>
        </w:numPr>
        <w:jc w:val="both"/>
        <w:rPr>
          <w:rFonts w:eastAsia="Times New Roman" w:cstheme="minorHAnsi"/>
          <w:b/>
          <w:color w:val="000000"/>
          <w:lang w:eastAsia="es-ES"/>
        </w:rPr>
      </w:pPr>
      <w:r w:rsidRPr="000C45A3">
        <w:rPr>
          <w:rFonts w:eastAsia="Times New Roman" w:cstheme="minorHAnsi"/>
          <w:b/>
          <w:color w:val="000000"/>
          <w:lang w:eastAsia="es-ES"/>
        </w:rPr>
        <w:t>Las muestras de afecto entre parejas del mismo sexo se deben mantener exclusivamente en la privacidad de su casa</w:t>
      </w:r>
    </w:p>
    <w:p w:rsidR="00043E1F" w:rsidRPr="000C45A3" w:rsidRDefault="00043E1F" w:rsidP="00043E1F">
      <w:pPr>
        <w:pStyle w:val="Prrafodelista"/>
        <w:numPr>
          <w:ilvl w:val="0"/>
          <w:numId w:val="1"/>
        </w:numPr>
        <w:jc w:val="both"/>
        <w:rPr>
          <w:rFonts w:eastAsia="Times New Roman" w:cstheme="minorHAnsi"/>
          <w:b/>
          <w:color w:val="000000"/>
          <w:lang w:eastAsia="es-ES"/>
        </w:rPr>
      </w:pPr>
      <w:r w:rsidRPr="000C45A3">
        <w:rPr>
          <w:rFonts w:eastAsia="Times New Roman" w:cstheme="minorHAnsi"/>
          <w:b/>
          <w:color w:val="000000"/>
          <w:lang w:eastAsia="es-ES"/>
        </w:rPr>
        <w:t>Machismo es igual que feminismo</w:t>
      </w:r>
    </w:p>
    <w:p w:rsidR="00405135" w:rsidRPr="00405135" w:rsidRDefault="00405135" w:rsidP="00043E1F">
      <w:pPr>
        <w:rPr>
          <w:b/>
        </w:rPr>
      </w:pPr>
    </w:p>
    <w:sectPr w:rsidR="00405135" w:rsidRPr="00405135" w:rsidSect="00043E1F">
      <w:headerReference w:type="default" r:id="rId8"/>
      <w:pgSz w:w="11906" w:h="16838"/>
      <w:pgMar w:top="167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681" w:rsidRDefault="00326681" w:rsidP="00405135">
      <w:pPr>
        <w:spacing w:after="0" w:line="240" w:lineRule="auto"/>
      </w:pPr>
      <w:r>
        <w:separator/>
      </w:r>
    </w:p>
  </w:endnote>
  <w:endnote w:type="continuationSeparator" w:id="0">
    <w:p w:rsidR="00326681" w:rsidRDefault="00326681" w:rsidP="00405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DejaVu Sans">
    <w:charset w:val="00"/>
    <w:family w:val="swiss"/>
    <w:pitch w:val="variable"/>
    <w:sig w:usb0="E7000EFF" w:usb1="5200F5FF" w:usb2="0A242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681" w:rsidRDefault="00326681" w:rsidP="00405135">
      <w:pPr>
        <w:spacing w:after="0" w:line="240" w:lineRule="auto"/>
      </w:pPr>
      <w:r>
        <w:separator/>
      </w:r>
    </w:p>
  </w:footnote>
  <w:footnote w:type="continuationSeparator" w:id="0">
    <w:p w:rsidR="00326681" w:rsidRDefault="00326681" w:rsidP="004051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135" w:rsidRPr="00405135" w:rsidRDefault="00405135" w:rsidP="00405135">
    <w:pPr>
      <w:pStyle w:val="Cuadrculamedia22"/>
      <w:jc w:val="right"/>
      <w:rPr>
        <w:b/>
        <w:color w:val="365F91" w:themeColor="accent1" w:themeShade="BF"/>
        <w:sz w:val="18"/>
      </w:rPr>
    </w:pPr>
    <w:r w:rsidRPr="00405135">
      <w:rPr>
        <w:noProof/>
        <w:color w:val="365F91" w:themeColor="accent1" w:themeShade="BF"/>
        <w:lang w:val="es-ES" w:eastAsia="es-ES"/>
      </w:rPr>
      <w:drawing>
        <wp:anchor distT="0" distB="0" distL="0" distR="0" simplePos="0" relativeHeight="251659264" behindDoc="0" locked="0" layoutInCell="1" allowOverlap="1" wp14:anchorId="23E00FF0" wp14:editId="65D03BEF">
          <wp:simplePos x="0" y="0"/>
          <wp:positionH relativeFrom="margin">
            <wp:posOffset>-213360</wp:posOffset>
          </wp:positionH>
          <wp:positionV relativeFrom="paragraph">
            <wp:posOffset>-116205</wp:posOffset>
          </wp:positionV>
          <wp:extent cx="1590675" cy="514350"/>
          <wp:effectExtent l="19050" t="0" r="9525"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rcRect/>
                  <a:stretch>
                    <a:fillRect/>
                  </a:stretch>
                </pic:blipFill>
                <pic:spPr bwMode="auto">
                  <a:xfrm>
                    <a:off x="0" y="0"/>
                    <a:ext cx="1590675" cy="514350"/>
                  </a:xfrm>
                  <a:prstGeom prst="rect">
                    <a:avLst/>
                  </a:prstGeom>
                  <a:noFill/>
                  <a:ln w="9525">
                    <a:noFill/>
                    <a:miter lim="800000"/>
                    <a:headEnd/>
                    <a:tailEnd/>
                  </a:ln>
                </pic:spPr>
              </pic:pic>
            </a:graphicData>
          </a:graphic>
        </wp:anchor>
      </w:drawing>
    </w:r>
    <w:r w:rsidRPr="00405135">
      <w:rPr>
        <w:b/>
        <w:color w:val="365F91" w:themeColor="accent1" w:themeShade="BF"/>
        <w:sz w:val="18"/>
      </w:rPr>
      <w:t>Dirección General de Educación e Investigación</w:t>
    </w:r>
  </w:p>
  <w:p w:rsidR="00405135" w:rsidRPr="00405135" w:rsidRDefault="00405135" w:rsidP="00405135">
    <w:pPr>
      <w:pStyle w:val="Cuadrculamedia22"/>
      <w:jc w:val="right"/>
      <w:rPr>
        <w:b/>
        <w:color w:val="365F91" w:themeColor="accent1" w:themeShade="BF"/>
        <w:sz w:val="18"/>
      </w:rPr>
    </w:pPr>
    <w:r w:rsidRPr="00405135">
      <w:rPr>
        <w:b/>
        <w:color w:val="365F91" w:themeColor="accent1" w:themeShade="BF"/>
        <w:sz w:val="18"/>
      </w:rPr>
      <w:t>Dirección Nacional Técnica de Educación y Capacitación</w:t>
    </w:r>
  </w:p>
  <w:p w:rsidR="00405135" w:rsidRPr="00405135" w:rsidRDefault="00405135">
    <w:pPr>
      <w:pStyle w:val="Encabezado"/>
      <w:rPr>
        <w:lang w:val="es-EC"/>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2EC"/>
    <w:multiLevelType w:val="hybridMultilevel"/>
    <w:tmpl w:val="83780A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335E552C"/>
    <w:multiLevelType w:val="hybridMultilevel"/>
    <w:tmpl w:val="CF2C56F6"/>
    <w:lvl w:ilvl="0" w:tplc="9C0E4B50">
      <w:start w:val="1"/>
      <w:numFmt w:val="decimal"/>
      <w:lvlText w:val="%1."/>
      <w:lvlJc w:val="left"/>
      <w:pPr>
        <w:ind w:left="720" w:hanging="360"/>
      </w:pPr>
      <w:rPr>
        <w:rFonts w:asciiTheme="minorHAnsi" w:hAnsiTheme="minorHAnsi" w:cstheme="minorHAnsi"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135"/>
    <w:rsid w:val="00043E1F"/>
    <w:rsid w:val="00326681"/>
    <w:rsid w:val="00405135"/>
    <w:rsid w:val="00854ABA"/>
    <w:rsid w:val="00DC17DB"/>
    <w:rsid w:val="00DF53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E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513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5135"/>
  </w:style>
  <w:style w:type="paragraph" w:styleId="Piedepgina">
    <w:name w:val="footer"/>
    <w:basedOn w:val="Normal"/>
    <w:link w:val="PiedepginaCar"/>
    <w:uiPriority w:val="99"/>
    <w:unhideWhenUsed/>
    <w:rsid w:val="0040513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5135"/>
  </w:style>
  <w:style w:type="paragraph" w:customStyle="1" w:styleId="Cuadrculamedia22">
    <w:name w:val="Cuadrícula media 22"/>
    <w:link w:val="Cuadrculamedia2Car1"/>
    <w:uiPriority w:val="1"/>
    <w:qFormat/>
    <w:rsid w:val="00405135"/>
    <w:pPr>
      <w:suppressAutoHyphens/>
      <w:spacing w:after="0" w:line="100" w:lineRule="atLeast"/>
    </w:pPr>
    <w:rPr>
      <w:rFonts w:ascii="Calibri" w:eastAsia="DejaVu Sans" w:hAnsi="Calibri" w:cs="Calibri"/>
      <w:color w:val="00000A"/>
      <w:sz w:val="20"/>
      <w:szCs w:val="20"/>
      <w:lang w:val="es-EC" w:eastAsia="es-EC"/>
    </w:rPr>
  </w:style>
  <w:style w:type="character" w:customStyle="1" w:styleId="Cuadrculamedia2Car1">
    <w:name w:val="Cuadrícula media 2 Car1"/>
    <w:link w:val="Cuadrculamedia22"/>
    <w:uiPriority w:val="1"/>
    <w:rsid w:val="00405135"/>
    <w:rPr>
      <w:rFonts w:ascii="Calibri" w:eastAsia="DejaVu Sans" w:hAnsi="Calibri" w:cs="Calibri"/>
      <w:color w:val="00000A"/>
      <w:sz w:val="20"/>
      <w:szCs w:val="20"/>
      <w:lang w:val="es-EC" w:eastAsia="es-EC"/>
    </w:rPr>
  </w:style>
  <w:style w:type="paragraph" w:styleId="Prrafodelista">
    <w:name w:val="List Paragraph"/>
    <w:basedOn w:val="Normal"/>
    <w:uiPriority w:val="34"/>
    <w:qFormat/>
    <w:rsid w:val="00043E1F"/>
    <w:pPr>
      <w:ind w:left="720"/>
      <w:contextualSpacing/>
    </w:pPr>
  </w:style>
  <w:style w:type="character" w:styleId="Textoennegrita">
    <w:name w:val="Strong"/>
    <w:basedOn w:val="Fuentedeprrafopredeter"/>
    <w:uiPriority w:val="22"/>
    <w:qFormat/>
    <w:rsid w:val="00043E1F"/>
    <w:rPr>
      <w:b/>
      <w:bCs/>
    </w:rPr>
  </w:style>
  <w:style w:type="character" w:customStyle="1" w:styleId="googqs-tidbit-0">
    <w:name w:val="goog_qs-tidbit-0"/>
    <w:basedOn w:val="Fuentedeprrafopredeter"/>
    <w:rsid w:val="00043E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E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513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5135"/>
  </w:style>
  <w:style w:type="paragraph" w:styleId="Piedepgina">
    <w:name w:val="footer"/>
    <w:basedOn w:val="Normal"/>
    <w:link w:val="PiedepginaCar"/>
    <w:uiPriority w:val="99"/>
    <w:unhideWhenUsed/>
    <w:rsid w:val="0040513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5135"/>
  </w:style>
  <w:style w:type="paragraph" w:customStyle="1" w:styleId="Cuadrculamedia22">
    <w:name w:val="Cuadrícula media 22"/>
    <w:link w:val="Cuadrculamedia2Car1"/>
    <w:uiPriority w:val="1"/>
    <w:qFormat/>
    <w:rsid w:val="00405135"/>
    <w:pPr>
      <w:suppressAutoHyphens/>
      <w:spacing w:after="0" w:line="100" w:lineRule="atLeast"/>
    </w:pPr>
    <w:rPr>
      <w:rFonts w:ascii="Calibri" w:eastAsia="DejaVu Sans" w:hAnsi="Calibri" w:cs="Calibri"/>
      <w:color w:val="00000A"/>
      <w:sz w:val="20"/>
      <w:szCs w:val="20"/>
      <w:lang w:val="es-EC" w:eastAsia="es-EC"/>
    </w:rPr>
  </w:style>
  <w:style w:type="character" w:customStyle="1" w:styleId="Cuadrculamedia2Car1">
    <w:name w:val="Cuadrícula media 2 Car1"/>
    <w:link w:val="Cuadrculamedia22"/>
    <w:uiPriority w:val="1"/>
    <w:rsid w:val="00405135"/>
    <w:rPr>
      <w:rFonts w:ascii="Calibri" w:eastAsia="DejaVu Sans" w:hAnsi="Calibri" w:cs="Calibri"/>
      <w:color w:val="00000A"/>
      <w:sz w:val="20"/>
      <w:szCs w:val="20"/>
      <w:lang w:val="es-EC" w:eastAsia="es-EC"/>
    </w:rPr>
  </w:style>
  <w:style w:type="paragraph" w:styleId="Prrafodelista">
    <w:name w:val="List Paragraph"/>
    <w:basedOn w:val="Normal"/>
    <w:uiPriority w:val="34"/>
    <w:qFormat/>
    <w:rsid w:val="00043E1F"/>
    <w:pPr>
      <w:ind w:left="720"/>
      <w:contextualSpacing/>
    </w:pPr>
  </w:style>
  <w:style w:type="character" w:styleId="Textoennegrita">
    <w:name w:val="Strong"/>
    <w:basedOn w:val="Fuentedeprrafopredeter"/>
    <w:uiPriority w:val="22"/>
    <w:qFormat/>
    <w:rsid w:val="00043E1F"/>
    <w:rPr>
      <w:b/>
      <w:bCs/>
    </w:rPr>
  </w:style>
  <w:style w:type="character" w:customStyle="1" w:styleId="googqs-tidbit-0">
    <w:name w:val="goog_qs-tidbit-0"/>
    <w:basedOn w:val="Fuentedeprrafopredeter"/>
    <w:rsid w:val="00043E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1562</Words>
  <Characters>8597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DPE</Company>
  <LinksUpToDate>false</LinksUpToDate>
  <CharactersWithSpaces>10139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Jaramillo</dc:creator>
  <cp:keywords/>
  <dc:description/>
  <cp:lastModifiedBy>Pamela Jaramillo</cp:lastModifiedBy>
  <cp:revision>3</cp:revision>
  <dcterms:created xsi:type="dcterms:W3CDTF">2016-05-03T23:25:00Z</dcterms:created>
  <dcterms:modified xsi:type="dcterms:W3CDTF">2016-05-03T23:25:00Z</dcterms:modified>
</cp:coreProperties>
</file>